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AB6C94">
        <w:rPr>
          <w:rFonts w:ascii="Times New Roman" w:hAnsi="Times New Roman" w:cs="Times New Roman"/>
          <w:b/>
          <w:sz w:val="24"/>
          <w:szCs w:val="24"/>
        </w:rPr>
        <w:t>Yönlendirilmiş İSG U</w:t>
      </w:r>
      <w:r w:rsidR="00AB6C94" w:rsidRPr="00AB6C94">
        <w:rPr>
          <w:rFonts w:ascii="Times New Roman" w:hAnsi="Times New Roman" w:cs="Times New Roman"/>
          <w:b/>
          <w:sz w:val="24"/>
          <w:szCs w:val="24"/>
        </w:rPr>
        <w:t xml:space="preserve">ygulamaları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AB6C94" w:rsidP="000259FA">
      <w:pPr>
        <w:pStyle w:val="NormalWeb"/>
        <w:spacing w:line="360" w:lineRule="auto"/>
        <w:jc w:val="both"/>
      </w:pPr>
      <w:r>
        <w:t>Öğrenciler derslere düzenli olarak katılım göstermiş ve ödev ile proje gibi aktif çalışmalara dahil olmuşlardır. Sunum ve seminer hazırlama oranı düşük olmasına rağmen, öğrenciler uygulamalı etkinliklerin öğrenme süreçlerine önemli katkı sağladığını belirtmişlerdir. Sınav hazırlıkları bireysel farklılıklar gösterse de, genel olarak ders içeriklerine yönelik motivasyon yüksek görünmektedir. Derslerin uygulamalı yönlerinin öğrenciler tarafından değerli bulunması, bu tür etkinliklerin devam etmesinin öğrenme deneyimini olumlu yönde destekleyeceğini göstermektedir.</w:t>
      </w:r>
    </w:p>
    <w:tbl>
      <w:tblPr>
        <w:tblStyle w:val="TabloKlavuzu"/>
        <w:tblW w:w="0" w:type="auto"/>
        <w:tblLook w:val="04A0" w:firstRow="1" w:lastRow="0" w:firstColumn="1" w:lastColumn="0" w:noHBand="0" w:noVBand="1"/>
      </w:tblPr>
      <w:tblGrid>
        <w:gridCol w:w="511"/>
        <w:gridCol w:w="4363"/>
        <w:gridCol w:w="2921"/>
        <w:gridCol w:w="1267"/>
      </w:tblGrid>
      <w:tr w:rsidR="00385699" w:rsidRPr="00385699" w:rsidTr="00385699">
        <w:tc>
          <w:tcPr>
            <w:tcW w:w="0" w:type="auto"/>
            <w:hideMark/>
          </w:tcPr>
          <w:p w:rsidR="00385699" w:rsidRPr="00385699" w:rsidRDefault="00385699" w:rsidP="00385699">
            <w:pPr>
              <w:spacing w:line="240" w:lineRule="auto"/>
              <w:jc w:val="center"/>
              <w:rPr>
                <w:rFonts w:ascii="Times New Roman" w:eastAsia="Times New Roman" w:hAnsi="Times New Roman" w:cs="Times New Roman"/>
                <w:b/>
                <w:bCs/>
                <w:sz w:val="24"/>
                <w:szCs w:val="24"/>
                <w:lang w:val="tr-TR" w:eastAsia="tr-TR"/>
              </w:rPr>
            </w:pPr>
            <w:r w:rsidRPr="00385699">
              <w:rPr>
                <w:rFonts w:ascii="Times New Roman" w:eastAsia="Times New Roman" w:hAnsi="Times New Roman" w:cs="Times New Roman"/>
                <w:b/>
                <w:bCs/>
                <w:sz w:val="24"/>
                <w:szCs w:val="24"/>
                <w:lang w:val="tr-TR" w:eastAsia="tr-TR"/>
              </w:rPr>
              <w:t>No</w:t>
            </w:r>
          </w:p>
        </w:tc>
        <w:tc>
          <w:tcPr>
            <w:tcW w:w="0" w:type="auto"/>
            <w:hideMark/>
          </w:tcPr>
          <w:p w:rsidR="00385699" w:rsidRPr="00385699" w:rsidRDefault="00385699" w:rsidP="00385699">
            <w:pPr>
              <w:spacing w:line="240" w:lineRule="auto"/>
              <w:jc w:val="center"/>
              <w:rPr>
                <w:rFonts w:ascii="Times New Roman" w:eastAsia="Times New Roman" w:hAnsi="Times New Roman" w:cs="Times New Roman"/>
                <w:b/>
                <w:bCs/>
                <w:sz w:val="24"/>
                <w:szCs w:val="24"/>
                <w:lang w:val="tr-TR" w:eastAsia="tr-TR"/>
              </w:rPr>
            </w:pPr>
            <w:r w:rsidRPr="00385699">
              <w:rPr>
                <w:rFonts w:ascii="Times New Roman" w:eastAsia="Times New Roman" w:hAnsi="Times New Roman" w:cs="Times New Roman"/>
                <w:b/>
                <w:bCs/>
                <w:sz w:val="24"/>
                <w:szCs w:val="24"/>
                <w:lang w:val="tr-TR" w:eastAsia="tr-TR"/>
              </w:rPr>
              <w:t>Soru</w:t>
            </w:r>
          </w:p>
        </w:tc>
        <w:tc>
          <w:tcPr>
            <w:tcW w:w="0" w:type="auto"/>
            <w:hideMark/>
          </w:tcPr>
          <w:p w:rsidR="00385699" w:rsidRPr="00385699" w:rsidRDefault="00385699" w:rsidP="00385699">
            <w:pPr>
              <w:spacing w:line="240" w:lineRule="auto"/>
              <w:jc w:val="center"/>
              <w:rPr>
                <w:rFonts w:ascii="Times New Roman" w:eastAsia="Times New Roman" w:hAnsi="Times New Roman" w:cs="Times New Roman"/>
                <w:b/>
                <w:bCs/>
                <w:sz w:val="24"/>
                <w:szCs w:val="24"/>
                <w:lang w:val="tr-TR" w:eastAsia="tr-TR"/>
              </w:rPr>
            </w:pPr>
            <w:r w:rsidRPr="00385699">
              <w:rPr>
                <w:rFonts w:ascii="Times New Roman" w:eastAsia="Times New Roman" w:hAnsi="Times New Roman" w:cs="Times New Roman"/>
                <w:b/>
                <w:bCs/>
                <w:sz w:val="24"/>
                <w:szCs w:val="24"/>
                <w:lang w:val="tr-TR" w:eastAsia="tr-TR"/>
              </w:rPr>
              <w:t>Yanıt Dağılımı (n)</w:t>
            </w:r>
          </w:p>
        </w:tc>
        <w:tc>
          <w:tcPr>
            <w:tcW w:w="0" w:type="auto"/>
            <w:hideMark/>
          </w:tcPr>
          <w:p w:rsidR="00385699" w:rsidRPr="00385699" w:rsidRDefault="00385699" w:rsidP="00385699">
            <w:pPr>
              <w:spacing w:line="240" w:lineRule="auto"/>
              <w:jc w:val="center"/>
              <w:rPr>
                <w:rFonts w:ascii="Times New Roman" w:eastAsia="Times New Roman" w:hAnsi="Times New Roman" w:cs="Times New Roman"/>
                <w:b/>
                <w:bCs/>
                <w:sz w:val="24"/>
                <w:szCs w:val="24"/>
                <w:lang w:val="tr-TR" w:eastAsia="tr-TR"/>
              </w:rPr>
            </w:pPr>
            <w:r w:rsidRPr="00385699">
              <w:rPr>
                <w:rFonts w:ascii="Times New Roman" w:eastAsia="Times New Roman" w:hAnsi="Times New Roman" w:cs="Times New Roman"/>
                <w:b/>
                <w:bCs/>
                <w:sz w:val="24"/>
                <w:szCs w:val="24"/>
                <w:lang w:val="tr-TR" w:eastAsia="tr-TR"/>
              </w:rPr>
              <w:t>Yüzde (%)</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Derse dönem içinde devam ettiniz mi?</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ödev hazırladınız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3</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ödev hazırladınız?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 ödev 3 kişi, 2 ödev 1 kişi</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ödevi hazırlamak için ortalama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3-4 saat 4 kişi</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5</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sunum/seminer hazırladınız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Hayır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6</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sunum/seminer hazırladınız?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sunum/seminer için ortalama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8</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proje hazırladınız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3, Hayır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9</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proje hazırladınız?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 proje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projeyi hazırlamak için ortalama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3-4 saat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laboratuvar/atölye çalışmasına katıldınız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3, Hayır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laboratuvar/atölye çalışmasına katıldınız?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1–2 çalışmaya katılım</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13</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laboratuvar/atölye çalışması için ortalama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kısa sınav (quiz) yapıldı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2, Hayır 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50%, 50%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15</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quize girdiniz?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 quiz 2 kişi, 0 quiz 2 kişi</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50%, 50%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16</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quiz için ortalama kaç saat çalıştınız?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17</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birinci ara sınava katıldınız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3, Hayır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18</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Birinci ara sınava hazırlanmak için yaklaşık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3-4 saat 1, 5-6 saat 1, 9-10 saat 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25%, 25%, 50%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lastRenderedPageBreak/>
              <w:t>19</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ikinci ara sınava katıldınız mı?</w:t>
            </w:r>
          </w:p>
        </w:tc>
        <w:tc>
          <w:tcPr>
            <w:tcW w:w="0" w:type="auto"/>
            <w:hideMark/>
          </w:tcPr>
          <w:p w:rsidR="00385699" w:rsidRPr="00385699" w:rsidRDefault="00411BB9" w:rsidP="0038569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 4</w:t>
            </w:r>
          </w:p>
        </w:tc>
        <w:tc>
          <w:tcPr>
            <w:tcW w:w="0" w:type="auto"/>
            <w:hideMark/>
          </w:tcPr>
          <w:p w:rsidR="00385699" w:rsidRPr="00385699" w:rsidRDefault="00411BB9" w:rsidP="00411BB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İkinci ara sınava hazırlanmak için yaklaşık kaç saat harcadınız?</w:t>
            </w:r>
          </w:p>
        </w:tc>
        <w:tc>
          <w:tcPr>
            <w:tcW w:w="0" w:type="auto"/>
            <w:hideMark/>
          </w:tcPr>
          <w:p w:rsidR="00385699" w:rsidRPr="00385699" w:rsidRDefault="00411BB9" w:rsidP="00411BB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 saat 4</w:t>
            </w:r>
          </w:p>
        </w:tc>
        <w:tc>
          <w:tcPr>
            <w:tcW w:w="0" w:type="auto"/>
            <w:hideMark/>
          </w:tcPr>
          <w:p w:rsidR="00385699" w:rsidRPr="00385699" w:rsidRDefault="00946FCA" w:rsidP="00411BB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bookmarkStart w:id="0" w:name="_GoBack"/>
            <w:bookmarkEnd w:id="0"/>
            <w:r w:rsidR="00411BB9">
              <w:rPr>
                <w:rFonts w:ascii="Times New Roman" w:eastAsia="Times New Roman" w:hAnsi="Times New Roman" w:cs="Times New Roman"/>
                <w:sz w:val="24"/>
                <w:szCs w:val="24"/>
                <w:lang w:val="tr-TR" w:eastAsia="tr-TR"/>
              </w:rPr>
              <w:t>%</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final sınavına katıldınız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3, Hayır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Final sınavına hazırlanmak için yaklaşık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1-2 saat 1, 3-4 saat 1, 9-10 saat 2</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25%, 25%, 50%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23</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kapsamında bütünleme sınavına katıldınız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Hayır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Bütünleme sınavına hazırlanmak için yaklaşık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25</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saatleri dışında seminer, konferans, çalıştaya katıldınız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Hayır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26</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Kaç etkinliğe katıldınız?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 etkinlik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27</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Her bir etkinlik için ortalama kaç saat harcadınız?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 saat 4</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28</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Ders için kütüphane veya internette araştırma yaptınız mı?</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Evet 3, Hayır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29</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Kütüphaneyi/interneti haftada kaç saat kullandınız?</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100%</w:t>
            </w:r>
          </w:p>
        </w:tc>
      </w:tr>
      <w:tr w:rsidR="00385699" w:rsidRPr="00385699" w:rsidTr="00385699">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30</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Yukarıda belirtilmeyen ek çalışma veya faaliyet?</w:t>
            </w:r>
          </w:p>
        </w:tc>
        <w:tc>
          <w:tcPr>
            <w:tcW w:w="0" w:type="auto"/>
            <w:hideMark/>
          </w:tcPr>
          <w:p w:rsid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 xml:space="preserve">Hayır 3, </w:t>
            </w:r>
          </w:p>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 xml:space="preserve">“Bu tarz </w:t>
            </w:r>
            <w:r>
              <w:rPr>
                <w:rFonts w:ascii="Times New Roman" w:eastAsia="Times New Roman" w:hAnsi="Times New Roman" w:cs="Times New Roman"/>
                <w:sz w:val="24"/>
                <w:szCs w:val="24"/>
                <w:lang w:val="tr-TR" w:eastAsia="tr-TR"/>
              </w:rPr>
              <w:t>uygulamaların</w:t>
            </w:r>
            <w:r w:rsidRPr="00385699">
              <w:rPr>
                <w:rFonts w:ascii="Times New Roman" w:eastAsia="Times New Roman" w:hAnsi="Times New Roman" w:cs="Times New Roman"/>
                <w:sz w:val="24"/>
                <w:szCs w:val="24"/>
                <w:lang w:val="tr-TR" w:eastAsia="tr-TR"/>
              </w:rPr>
              <w:t xml:space="preserve"> devamını istiyoruz” 1</w:t>
            </w:r>
          </w:p>
        </w:tc>
        <w:tc>
          <w:tcPr>
            <w:tcW w:w="0" w:type="auto"/>
            <w:hideMark/>
          </w:tcPr>
          <w:p w:rsidR="00385699" w:rsidRPr="00385699" w:rsidRDefault="00385699" w:rsidP="00385699">
            <w:pPr>
              <w:spacing w:line="240" w:lineRule="auto"/>
              <w:rPr>
                <w:rFonts w:ascii="Times New Roman" w:eastAsia="Times New Roman" w:hAnsi="Times New Roman" w:cs="Times New Roman"/>
                <w:sz w:val="24"/>
                <w:szCs w:val="24"/>
                <w:lang w:val="tr-TR" w:eastAsia="tr-TR"/>
              </w:rPr>
            </w:pPr>
            <w:r w:rsidRPr="00385699">
              <w:rPr>
                <w:rFonts w:ascii="Times New Roman" w:eastAsia="Times New Roman" w:hAnsi="Times New Roman" w:cs="Times New Roman"/>
                <w:sz w:val="24"/>
                <w:szCs w:val="24"/>
                <w:lang w:val="tr-TR" w:eastAsia="tr-TR"/>
              </w:rPr>
              <w:t>75%, 25%</w:t>
            </w:r>
          </w:p>
        </w:tc>
      </w:tr>
    </w:tbl>
    <w:p w:rsidR="00385699" w:rsidRDefault="00385699" w:rsidP="000259FA">
      <w:pPr>
        <w:pStyle w:val="NormalWeb"/>
        <w:spacing w:line="360" w:lineRule="auto"/>
        <w:jc w:val="both"/>
      </w:pPr>
    </w:p>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AB6C94" w:rsidRDefault="00AB6C94" w:rsidP="00AB6C94">
      <w:pPr>
        <w:spacing w:before="100" w:beforeAutospacing="1" w:after="100" w:afterAutospacing="1" w:line="360" w:lineRule="auto"/>
        <w:jc w:val="both"/>
        <w:rPr>
          <w:rFonts w:ascii="Times New Roman" w:hAnsi="Times New Roman" w:cs="Times New Roman"/>
          <w:sz w:val="24"/>
          <w:szCs w:val="24"/>
        </w:rPr>
      </w:pPr>
      <w:r w:rsidRPr="00AB6C94">
        <w:rPr>
          <w:rFonts w:ascii="Times New Roman" w:hAnsi="Times New Roman" w:cs="Times New Roman"/>
          <w:sz w:val="24"/>
          <w:szCs w:val="24"/>
        </w:rPr>
        <w:t>Genel olarak, öğrenciler derslere yüksek düzeyde katılım göstermiş ve ödev, proje ve uygulamalı etkinlikler aracılığıyla öğrenme süreçlerini aktif şekilde desteklemişlerdir. Derslerde sunum ve seminer hazırlama oranı düşük olsa da, öğrenciler uygulamalı çalışmaların bilgiyi pekiştirmede ve konuları daha iyi anlamada önemli rol oynadığını vurgulamışlardır. Sınav hazırlıkları kişiden kişiye değişiklik gösterse de, genel motivasyon ve ders içeriğine ilgilerinin yüksek olduğu gözlemlenmiştir. Öğrenciler, derslerin uygulamalı yönlerinin artırılmasının öğrenme deneyimini daha da güçlendireceğini belirtmiş, bu da ders tasarımı ve öğretim yöntemlerinin geliştirilmesine yönelik önemli bir geri bildirim sağlamıştır.</w:t>
      </w:r>
    </w:p>
    <w:sectPr w:rsidR="00733D18" w:rsidRPr="00AB6C9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9A9" w:rsidRDefault="00AC29A9" w:rsidP="0074148A">
      <w:pPr>
        <w:spacing w:line="240" w:lineRule="auto"/>
      </w:pPr>
      <w:r>
        <w:separator/>
      </w:r>
    </w:p>
  </w:endnote>
  <w:endnote w:type="continuationSeparator" w:id="0">
    <w:p w:rsidR="00AC29A9" w:rsidRDefault="00AC29A9"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9A9" w:rsidRDefault="00AC29A9" w:rsidP="0074148A">
      <w:pPr>
        <w:spacing w:line="240" w:lineRule="auto"/>
      </w:pPr>
      <w:r>
        <w:separator/>
      </w:r>
    </w:p>
  </w:footnote>
  <w:footnote w:type="continuationSeparator" w:id="0">
    <w:p w:rsidR="00AC29A9" w:rsidRDefault="00AC29A9"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23206"/>
    <w:rsid w:val="00250AB6"/>
    <w:rsid w:val="002B3A6D"/>
    <w:rsid w:val="003207CD"/>
    <w:rsid w:val="00322967"/>
    <w:rsid w:val="00327254"/>
    <w:rsid w:val="00351CC3"/>
    <w:rsid w:val="00385699"/>
    <w:rsid w:val="00411BB9"/>
    <w:rsid w:val="0043214E"/>
    <w:rsid w:val="004A28B5"/>
    <w:rsid w:val="004F0FF2"/>
    <w:rsid w:val="00552CE2"/>
    <w:rsid w:val="005B6DD9"/>
    <w:rsid w:val="005E40A9"/>
    <w:rsid w:val="00654B2A"/>
    <w:rsid w:val="0067725C"/>
    <w:rsid w:val="006F29B5"/>
    <w:rsid w:val="007037E7"/>
    <w:rsid w:val="00733D18"/>
    <w:rsid w:val="0074148A"/>
    <w:rsid w:val="00762A77"/>
    <w:rsid w:val="0081755D"/>
    <w:rsid w:val="00821201"/>
    <w:rsid w:val="00833377"/>
    <w:rsid w:val="008664F2"/>
    <w:rsid w:val="008809A2"/>
    <w:rsid w:val="008C0497"/>
    <w:rsid w:val="0093146B"/>
    <w:rsid w:val="00946FCA"/>
    <w:rsid w:val="009B52B0"/>
    <w:rsid w:val="009D0ED5"/>
    <w:rsid w:val="00A03626"/>
    <w:rsid w:val="00A44D8D"/>
    <w:rsid w:val="00A73E07"/>
    <w:rsid w:val="00A947E7"/>
    <w:rsid w:val="00A9572B"/>
    <w:rsid w:val="00AB6C94"/>
    <w:rsid w:val="00AC29A9"/>
    <w:rsid w:val="00B76251"/>
    <w:rsid w:val="00B9217E"/>
    <w:rsid w:val="00BB301F"/>
    <w:rsid w:val="00BE377B"/>
    <w:rsid w:val="00BF0DF2"/>
    <w:rsid w:val="00C17A5B"/>
    <w:rsid w:val="00C35456"/>
    <w:rsid w:val="00D021BE"/>
    <w:rsid w:val="00D147AD"/>
    <w:rsid w:val="00D26935"/>
    <w:rsid w:val="00D8140E"/>
    <w:rsid w:val="00D821C9"/>
    <w:rsid w:val="00DB461A"/>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E8BDD"/>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 w:type="table" w:styleId="TabloKlavuzu">
    <w:name w:val="Table Grid"/>
    <w:basedOn w:val="NormalTablo"/>
    <w:uiPriority w:val="39"/>
    <w:rsid w:val="00385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5261912">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7589">
      <w:bodyDiv w:val="1"/>
      <w:marLeft w:val="0"/>
      <w:marRight w:val="0"/>
      <w:marTop w:val="0"/>
      <w:marBottom w:val="0"/>
      <w:divBdr>
        <w:top w:val="none" w:sz="0" w:space="0" w:color="auto"/>
        <w:left w:val="none" w:sz="0" w:space="0" w:color="auto"/>
        <w:bottom w:val="none" w:sz="0" w:space="0" w:color="auto"/>
        <w:right w:val="none" w:sz="0" w:space="0" w:color="auto"/>
      </w:divBdr>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979030">
      <w:bodyDiv w:val="1"/>
      <w:marLeft w:val="0"/>
      <w:marRight w:val="0"/>
      <w:marTop w:val="0"/>
      <w:marBottom w:val="0"/>
      <w:divBdr>
        <w:top w:val="none" w:sz="0" w:space="0" w:color="auto"/>
        <w:left w:val="none" w:sz="0" w:space="0" w:color="auto"/>
        <w:bottom w:val="none" w:sz="0" w:space="0" w:color="auto"/>
        <w:right w:val="none" w:sz="0" w:space="0" w:color="auto"/>
      </w:divBdr>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1965385472">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3131</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4</cp:revision>
  <dcterms:created xsi:type="dcterms:W3CDTF">2026-02-05T08:41:00Z</dcterms:created>
  <dcterms:modified xsi:type="dcterms:W3CDTF">2026-02-05T09:05:00Z</dcterms:modified>
</cp:coreProperties>
</file>